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Приложение 11</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 xml:space="preserve">к государственной программе </w:t>
      </w:r>
    </w:p>
    <w:p>
      <w:pPr>
        <w:pStyle w:val="Normal"/>
        <w:spacing w:lineRule="auto" w:line="240" w:before="0" w:after="0"/>
        <w:jc w:val="right"/>
        <w:rPr>
          <w:rFonts w:ascii="Times New Roman" w:hAnsi="Times New Roman" w:cs="Times New Roman"/>
          <w:bCs/>
          <w:sz w:val="28"/>
          <w:szCs w:val="28"/>
        </w:rPr>
      </w:pPr>
      <w:r>
        <w:rPr>
          <w:rFonts w:cs="Times New Roman" w:ascii="Times New Roman" w:hAnsi="Times New Roman"/>
          <w:bCs/>
          <w:sz w:val="28"/>
          <w:szCs w:val="28"/>
        </w:rPr>
        <w:t>«Развитие культуры и туризма</w:t>
      </w:r>
    </w:p>
    <w:p>
      <w:pPr>
        <w:pStyle w:val="Normal"/>
        <w:spacing w:lineRule="auto" w:line="240" w:before="0" w:after="0"/>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 xml:space="preserve">в Брянской области» </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Порядок</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предоставления субсидий бюджетам муниципальных образований</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на 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 государственной программы «Развитие культуры и туризма в Брянской области»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1. Настоящий Порядок, разработанный в соответствии с </w:t>
      </w:r>
      <w:hyperlink r:id="rId2">
        <w:r>
          <w:rPr>
            <w:rFonts w:cs="Times New Roman" w:ascii="Times New Roman" w:hAnsi="Times New Roman"/>
            <w:sz w:val="28"/>
            <w:szCs w:val="28"/>
          </w:rPr>
          <w:t>Правилами</w:t>
        </w:r>
      </w:hyperlink>
      <w:r>
        <w:rPr>
          <w:rFonts w:cs="Times New Roman" w:ascii="Times New Roman" w:hAnsi="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N 362-п (далее - Правила), определяет цели и условия предоставления субсидий из областного бюджета бюджетам муниципальных образований на 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 государственной программы «Развитие культуры и туризма в Брянской области» (далее - субсидия), порядок их предоставления и расходования, критерии отбора муниципальных образований для предоставления субсидий, порядок перечисления субсидий, предоставления отчетности об использовании субсидии, возврата субсидий, а также показатели результатов и порядок оценки эффективности использования администрациями муниципальных образований предоставляемых субсидий.</w:t>
      </w:r>
    </w:p>
    <w:p>
      <w:pPr>
        <w:pStyle w:val="Normal"/>
        <w:spacing w:lineRule="auto" w:line="240" w:before="0" w:after="0"/>
        <w:ind w:firstLine="540"/>
        <w:jc w:val="both"/>
        <w:rPr>
          <w:rFonts w:ascii="Times New Roman" w:hAnsi="Times New Roman" w:cs="Times New Roman"/>
          <w:bCs/>
          <w:sz w:val="28"/>
          <w:szCs w:val="28"/>
        </w:rPr>
      </w:pPr>
      <w:r>
        <w:rPr>
          <w:rFonts w:cs="Times New Roman" w:ascii="Times New Roman" w:hAnsi="Times New Roman"/>
          <w:sz w:val="28"/>
          <w:szCs w:val="28"/>
        </w:rPr>
        <w:t>2. Субсидии предоставляются в целях софинансирования расходных обязательств муниципальных образований, возникающих при реализации регионального проекта «Культурная среда (Брянская область)» государственной программы «Развитие культуры и туризма в Брянской области» и муниципальных программ, предусматривающих</w:t>
      </w:r>
      <w:r>
        <w:rPr>
          <w:rFonts w:cs="Times New Roman" w:ascii="Times New Roman" w:hAnsi="Times New Roman"/>
          <w:bCs/>
          <w:sz w:val="28"/>
          <w:szCs w:val="28"/>
        </w:rPr>
        <w:t xml:space="preserve"> развитие сети учреждений культурно-досугового типа муниципальных учреждений культуры по следующим направлениям: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2.1. На строительство центров культурного развития только по проектам повторного применения, рекомендуемым Министерством культуры Российской Федерации (далее - объекты капитального строительства).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2.2.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(далее - создание и модернизация учреждений культурно-досугового типа в сельской местности).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Субсидии не предоставляются в целях софинансирования расходных обязательств муниципальных образований по корректировке проектно-сметной документации (в части привязки проектов к местности, благоустройства территории, прилегающей к объекту капитального строительства, подключению к инженерным сетям, по закупке и установке немонтируемого оборудования (цифровое, аудиовизуальное и пр.), мебели, компьютерной и оргтехники).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3. Условиями предоставления и расходования субсидий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а) наличие правового акта органа местного самоуправления муниципального образования, утверждающего перечень мероприятий, в целях которых предоставляется субсидия;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б) наличие в бюджетах муниципальных образований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Размер средств бюджета муниципального образования может быть увеличен в одностороннем порядке со стороны муниципального образования, что не влечет обязательств по увеличению объема субсидий областного бюджета;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заключение соглашения о предоставлении субсидии бюджету муниципального образования в соответствии с </w:t>
      </w:r>
      <w:hyperlink r:id="rId3">
        <w:r>
          <w:rPr>
            <w:rFonts w:cs="Times New Roman" w:ascii="Times New Roman" w:hAnsi="Times New Roman"/>
            <w:sz w:val="28"/>
            <w:szCs w:val="28"/>
          </w:rPr>
          <w:t>пунктом 10</w:t>
        </w:r>
      </w:hyperlink>
      <w:r>
        <w:rPr>
          <w:rFonts w:cs="Times New Roman" w:ascii="Times New Roman" w:hAnsi="Times New Roman"/>
          <w:sz w:val="28"/>
          <w:szCs w:val="28"/>
        </w:rPr>
        <w:t xml:space="preserve"> Правил.</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4. Главными распорядителями средств областного бюджета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4.1. На цели, предусмотренные подпунктом 2.1 пункта 2 настоящего Порядка, департамент строительства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4.2. На цели, предусмотренные подпунктом 2.2 пункта 2 настоящего Порядка, департамент культуры Брянской области.</w:t>
      </w:r>
    </w:p>
    <w:p>
      <w:pPr>
        <w:pStyle w:val="Normal"/>
        <w:spacing w:lineRule="auto" w:line="240" w:before="0" w:after="0"/>
        <w:ind w:firstLine="540"/>
        <w:jc w:val="both"/>
        <w:rPr>
          <w:rFonts w:ascii="Times New Roman" w:hAnsi="Times New Roman" w:cs="Times New Roman"/>
          <w:sz w:val="28"/>
          <w:szCs w:val="28"/>
        </w:rPr>
      </w:pPr>
      <w:bookmarkStart w:id="0" w:name="Par17"/>
      <w:bookmarkEnd w:id="0"/>
      <w:r>
        <w:rPr>
          <w:rFonts w:cs="Times New Roman" w:ascii="Times New Roman" w:hAnsi="Times New Roman"/>
          <w:sz w:val="28"/>
          <w:szCs w:val="28"/>
        </w:rPr>
        <w:t>5. Критериями отбора муниципальных образований для предоставления субсидий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5.1. На цели, предусмотренные </w:t>
      </w:r>
      <w:hyperlink w:anchor="Par17">
        <w:r>
          <w:rPr>
            <w:rFonts w:cs="Times New Roman" w:ascii="Times New Roman" w:hAnsi="Times New Roman"/>
            <w:sz w:val="28"/>
            <w:szCs w:val="28"/>
          </w:rPr>
          <w:t>подпунктом 2.1 пункта 2</w:t>
        </w:r>
      </w:hyperlink>
      <w:r>
        <w:rPr>
          <w:rFonts w:cs="Times New Roman" w:ascii="Times New Roman" w:hAnsi="Times New Roman"/>
          <w:sz w:val="28"/>
          <w:szCs w:val="28"/>
        </w:rPr>
        <w:t xml:space="preserve"> настоящего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а) отсутствие в муниципальном образовании учреждений культуры; либо наличие зданий, имеющих высокий процент износа; либо не соответствующих действующим нормам и требованиям; либо отсутствие в собственности муниципальных образований зданий учреждений культуры;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б) наличие земельного участка для строительства, находящегося в собственности данного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 наличие гарантии администрации муниципального образования о последующем профильном использовании объекта капитального строительства и его эксплуатации за счет правообладателя;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 обязательство администрации муниципального образования обеспечить завершение строительства объекта капитального строительства и ввод его в эксплуатацию в установленные сроки (в соответствии с паспортом инвестиционного проекта по форме, установленной Министерством экономического развития Российской Федерации), но не позднее 2024 года.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5.2. На цели, предусмотренные </w:t>
      </w:r>
      <w:hyperlink w:anchor="Par18">
        <w:r>
          <w:rPr>
            <w:rFonts w:cs="Times New Roman" w:ascii="Times New Roman" w:hAnsi="Times New Roman"/>
            <w:sz w:val="28"/>
            <w:szCs w:val="28"/>
          </w:rPr>
          <w:t>подпунктом 2.2  пункта 2</w:t>
        </w:r>
      </w:hyperlink>
      <w:r>
        <w:rPr>
          <w:rFonts w:cs="Times New Roman" w:ascii="Times New Roman" w:hAnsi="Times New Roman"/>
          <w:sz w:val="28"/>
          <w:szCs w:val="28"/>
        </w:rPr>
        <w:t xml:space="preserve"> настоящего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а) наличие земельного участка для строительства или реконструкции, находящегося в собственности данного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б) наличие разработанной проектно-сметной документации для строительства (реконструкции), капитального ремонта;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доля учреждений сферы культуры муниципального образования, требующих капитального ремонта (процентов) (выше 90 процентов - 30 баллов, от 70 до 90 процентов - 20 баллов, менее 75 процентов - 10 баллов);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 доля муниципальных учреждений сферы культуры, имеющих современную материально-техническую базу в общем количестве муниципальных учреждений в сфере культуры (процентов) (выше 90 процентов - 10 баллов, от 70 до 90 процентов - 20 баллов, менее 75 процентов - 30 баллов).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6. Департамент культуры Брянской области с учетом критериев, перечисленных в </w:t>
      </w:r>
      <w:hyperlink w:anchor="Par17">
        <w:r>
          <w:rPr>
            <w:rFonts w:cs="Times New Roman" w:ascii="Times New Roman" w:hAnsi="Times New Roman"/>
            <w:sz w:val="28"/>
            <w:szCs w:val="28"/>
          </w:rPr>
          <w:t>пункте 5</w:t>
        </w:r>
      </w:hyperlink>
      <w:r>
        <w:rPr>
          <w:rFonts w:cs="Times New Roman" w:ascii="Times New Roman" w:hAnsi="Times New Roman"/>
          <w:sz w:val="28"/>
          <w:szCs w:val="28"/>
        </w:rPr>
        <w:t xml:space="preserve"> настоящего Порядка, осуществляет предварительный отбор муниципальных образований и муниципальных учреждений культуры, находящихся в муниципальной собственности, для направления заявки в Министерство культуры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районов (городских, муниципальных округов), на территории которых находятся организации, заявки которых прошли отбор в Министерстве культуры Российской Федерации в порядке, установленном Министерством культуры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Адресное (пообъектное) распределение субсидий по объектам утверждается нормативными правовыми актами Брянской области (за исключением мероприятий по капитальному ремонту).</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мероприятий по созданию центров культурного развития и срок их ввода в эксплуатацию устанавливается соглашением между главным распорядителем бюджетных средств и органами местного самоуправления муниципальных образований.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7.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Внесение изменений в распределение субсидий бюджетам муниципальных образований осуществляется в случаях, предусмотренных </w:t>
      </w:r>
      <w:hyperlink r:id="rId4">
        <w:r>
          <w:rPr>
            <w:rFonts w:cs="Times New Roman" w:ascii="Times New Roman" w:hAnsi="Times New Roman"/>
            <w:sz w:val="28"/>
            <w:szCs w:val="28"/>
          </w:rPr>
          <w:t>Законом</w:t>
        </w:r>
      </w:hyperlink>
      <w:r>
        <w:rPr>
          <w:rFonts w:cs="Times New Roman" w:ascii="Times New Roman" w:hAnsi="Times New Roman"/>
          <w:sz w:val="28"/>
          <w:szCs w:val="28"/>
        </w:rPr>
        <w:t xml:space="preserve"> Брянской области от 02.11.2016 N 89-З «О межбюджетных отношениях в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8. Субсидия предоставляется бюджету муниципального образования в соответствии с соглашением, заключаемым между:</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8.1. На цели, предусмотренные подпунктом 2.1 пункта 2 настоящего Порядка, Департаментом строительства Брянской области и администрациями муниципальных образований (далее - соглашение) в государственной интегрированной информационной системе управления общественными финансами «Электронный бюджет», в соответствии с типовой формой соглашения;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8.2. На цели, предусмотренные подпунктом 2.2 пункта 2 настоящего Порядка, Департаментом культуры Брянской области и администрациями муниципальных образований (далее - соглашение) в государственной интегрированной информационной системе управления общественными финансами «Электронный бюджет», в соответствии с типовой формой соглашения.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9. Перечисление субсидий бюджетам муниципальных образований или доведение предельных объемов финансирования на лицевые счета по переданным полномочиям получателей средств областного бюджета осуществляется в соответствии с кассовым планом выплат: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9.1.  На цели, предусмотренные подпунктом 2.1 пункта 2 настоящего Порядка, Департамента строительства Брянской области, формируемого на основании заявок муниципальных образований.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9.2.  На цели, предусмотренные подпунктом 2.2 пункта 2 настоящего Порядка, Департамента культуры Брянской области, формируемого на основании заявок муниципальных образований.</w:t>
      </w:r>
    </w:p>
    <w:p>
      <w:pPr>
        <w:pStyle w:val="ConsPlusNormal1"/>
        <w:jc w:val="both"/>
        <w:rPr>
          <w:rFonts w:ascii="Times New Roman" w:hAnsi="Times New Roman" w:cs="Times New Roman"/>
          <w:sz w:val="28"/>
          <w:szCs w:val="28"/>
        </w:rPr>
      </w:pPr>
      <w:r>
        <w:rPr>
          <w:rFonts w:cs="Times New Roman" w:ascii="Times New Roman" w:hAnsi="Times New Roman"/>
          <w:sz w:val="28"/>
          <w:szCs w:val="28"/>
        </w:rPr>
        <w:t>10. Перечисление субсидий осуществляется на единый счет бюджета муниципального района (муниципального округа, городского округа) Брянской области, открытый финансовому органу муниципального района (муниципального округа, городского округа) в Управлении Федерального казначейства по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Органы местного самоуправления муниципальных образований осуществляют закупки в соответствии с Федеральным </w:t>
      </w:r>
      <w:hyperlink r:id="rId5">
        <w:r>
          <w:rPr>
            <w:rFonts w:cs="Times New Roman" w:ascii="Times New Roman" w:hAnsi="Times New Roman"/>
            <w:sz w:val="28"/>
            <w:szCs w:val="28"/>
          </w:rPr>
          <w:t>законом</w:t>
        </w:r>
      </w:hyperlink>
      <w:r>
        <w:rPr>
          <w:rFonts w:cs="Times New Roman" w:ascii="Times New Roman" w:hAnsi="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11. Органы местного самоуправления муниципальных образований обеспечивают предоставление отчетов в сроки и по формам, предусмотренные соглашением о предоставлении субсидии бюджету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Ответственность за достоверность представляемых Департаменту строительства Брянской области и Департаменту культуры Брянской области сведений возлагается на органы местного самоуправления муниципальных образований.</w:t>
      </w:r>
    </w:p>
    <w:p>
      <w:pPr>
        <w:pStyle w:val="Normal"/>
        <w:spacing w:lineRule="auto" w:line="240" w:before="0" w:after="0"/>
        <w:ind w:firstLine="540"/>
        <w:jc w:val="both"/>
        <w:rPr>
          <w:rFonts w:ascii="Times New Roman" w:hAnsi="Times New Roman" w:cs="Times New Roman"/>
          <w:sz w:val="28"/>
          <w:szCs w:val="28"/>
        </w:rPr>
      </w:pPr>
      <w:bookmarkStart w:id="1" w:name="Par35"/>
      <w:bookmarkEnd w:id="1"/>
      <w:r>
        <w:rPr>
          <w:rFonts w:cs="Times New Roman" w:ascii="Times New Roman" w:hAnsi="Times New Roman"/>
          <w:sz w:val="28"/>
          <w:szCs w:val="28"/>
        </w:rPr>
        <w:t>12. Показателем (индикатором) государственной программы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12.1.  На цели, предусмотренные подпунктом 2.1 пункта 2 настоящего Порядка - создание центров культурного развития в населенных пунктах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строительства объектов муниципальной собственности на текущий финансовый год и на плановый период.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12.2. На цели, предусмотренные подпунктом 2.2 пункта 2 настоящего Порядка - количество построенных (реконструированных) и (или) капитально отремонтированных культурно-досуговых учреждений сельской местности.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муниципальными образованиями субсидии осуществляется Департаментом культуры Брянской области исходя из достижения муниципальными образованиями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строительства (реконструкции) и (или) капитально отремонтированных культурно-досуговых учреждений сельской местности на текущий финансовый год и на плановый период.</w:t>
      </w:r>
    </w:p>
    <w:p>
      <w:pPr>
        <w:pStyle w:val="Normal"/>
        <w:spacing w:lineRule="auto" w:line="240" w:before="0" w:after="0"/>
        <w:ind w:firstLine="540"/>
        <w:jc w:val="both"/>
        <w:rPr>
          <w:rFonts w:ascii="Times New Roman" w:hAnsi="Times New Roman" w:cs="Times New Roman"/>
          <w:sz w:val="28"/>
          <w:szCs w:val="28"/>
        </w:rPr>
      </w:pPr>
      <w:bookmarkStart w:id="2" w:name="Par37"/>
      <w:bookmarkEnd w:id="2"/>
      <w:r>
        <w:rPr>
          <w:rFonts w:cs="Times New Roman" w:ascii="Times New Roman" w:hAnsi="Times New Roman"/>
          <w:sz w:val="28"/>
          <w:szCs w:val="28"/>
        </w:rPr>
        <w:t>13. Не использованные в текущем финансовом году субсидии, предоставленные бюджетам муниципальных образований из областного бюджета, подлежат возврату в областной бюджет в порядке, установленном действующим законодательством Российской Федерации.</w:t>
      </w:r>
    </w:p>
    <w:p>
      <w:pPr>
        <w:pStyle w:val="Normal"/>
        <w:spacing w:lineRule="auto" w:line="240" w:before="0" w:after="0"/>
        <w:ind w:firstLine="540"/>
        <w:jc w:val="both"/>
        <w:rPr>
          <w:rFonts w:ascii="Times New Roman" w:hAnsi="Times New Roman" w:cs="Times New Roman"/>
          <w:sz w:val="28"/>
          <w:szCs w:val="28"/>
        </w:rPr>
      </w:pPr>
      <w:bookmarkStart w:id="3" w:name="Par58"/>
      <w:bookmarkEnd w:id="3"/>
      <w:r>
        <w:rPr>
          <w:rFonts w:cs="Times New Roman" w:ascii="Times New Roman" w:hAnsi="Times New Roman"/>
          <w:sz w:val="28"/>
          <w:szCs w:val="28"/>
        </w:rPr>
        <w:t xml:space="preserve">14.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(реконструкции) и капитальному ремонту объектов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6">
        <w:r>
          <w:rPr>
            <w:rFonts w:cs="Times New Roman" w:ascii="Times New Roman" w:hAnsi="Times New Roman"/>
            <w:sz w:val="28"/>
            <w:szCs w:val="28"/>
          </w:rPr>
          <w:t>пунктом 20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w:anchor="Par35">
        <w:r>
          <w:rPr>
            <w:rFonts w:cs="Times New Roman" w:ascii="Times New Roman" w:hAnsi="Times New Roman"/>
            <w:sz w:val="28"/>
            <w:szCs w:val="28"/>
          </w:rPr>
          <w:t>пунктом 12</w:t>
        </w:r>
      </w:hyperlink>
      <w:r>
        <w:rPr>
          <w:rFonts w:cs="Times New Roman" w:ascii="Times New Roman" w:hAnsi="Times New Roman"/>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ar58">
        <w:r>
          <w:rPr>
            <w:rFonts w:cs="Times New Roman" w:ascii="Times New Roman" w:hAnsi="Times New Roman"/>
            <w:sz w:val="28"/>
            <w:szCs w:val="28"/>
          </w:rPr>
          <w:t>абзацем первым</w:t>
        </w:r>
      </w:hyperlink>
      <w:r>
        <w:rPr>
          <w:rFonts w:cs="Times New Roman" w:ascii="Times New Roman" w:hAnsi="Times New Roman"/>
          <w:sz w:val="28"/>
          <w:szCs w:val="28"/>
        </w:rPr>
        <w:t xml:space="preserve"> настоящего пункта.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15. Освобождение муниципального образования от применения мер ответственности, предусмотренных </w:t>
      </w:r>
      <w:hyperlink w:anchor="Par37">
        <w:r>
          <w:rPr>
            <w:rFonts w:cs="Times New Roman" w:ascii="Times New Roman" w:hAnsi="Times New Roman"/>
            <w:sz w:val="28"/>
            <w:szCs w:val="28"/>
          </w:rPr>
          <w:t>пунктами 13</w:t>
        </w:r>
      </w:hyperlink>
      <w:r>
        <w:rPr>
          <w:rFonts w:cs="Times New Roman" w:ascii="Times New Roman" w:hAnsi="Times New Roman"/>
          <w:sz w:val="28"/>
          <w:szCs w:val="28"/>
        </w:rPr>
        <w:t xml:space="preserve">, 14 настоящего Порядка, в том числе от возврата средств в доход областного бюджета, осуществляется в соответствии с </w:t>
      </w:r>
      <w:hyperlink r:id="rId7">
        <w:r>
          <w:rPr>
            <w:rFonts w:cs="Times New Roman" w:ascii="Times New Roman" w:hAnsi="Times New Roman"/>
            <w:sz w:val="28"/>
            <w:szCs w:val="28"/>
          </w:rPr>
          <w:t>пунктом 20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16. 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заключенными соглашениями о предоставлении субсидии бюджету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17.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18.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ar37">
        <w:r>
          <w:rPr>
            <w:rFonts w:cs="Times New Roman" w:ascii="Times New Roman" w:hAnsi="Times New Roman"/>
            <w:sz w:val="28"/>
            <w:szCs w:val="28"/>
          </w:rPr>
          <w:t>пунктами 13</w:t>
        </w:r>
      </w:hyperlink>
      <w:r>
        <w:rPr>
          <w:rFonts w:cs="Times New Roman" w:ascii="Times New Roman" w:hAnsi="Times New Roman"/>
          <w:sz w:val="28"/>
          <w:szCs w:val="28"/>
        </w:rPr>
        <w:t xml:space="preserve">, </w:t>
      </w:r>
      <w:hyperlink w:anchor="Par58">
        <w:r>
          <w:rPr>
            <w:rFonts w:cs="Times New Roman" w:ascii="Times New Roman" w:hAnsi="Times New Roman"/>
            <w:sz w:val="28"/>
            <w:szCs w:val="28"/>
          </w:rPr>
          <w:t>14</w:t>
        </w:r>
      </w:hyperlink>
      <w:r>
        <w:rPr>
          <w:rFonts w:cs="Times New Roman" w:ascii="Times New Roman" w:hAnsi="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19.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20. Органы местного самоуправления муниципальных образований обеспечивают целевое и эффективное использование бюджетных средств.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21. Контроль за целевым и эффективным использованием бюджетных средств осуществляют: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21.1. На цели, предусмотренные подпунктом 2.1 пункта 2 настоящего Порядка, Департамент строительства Брянской области, в том числе через ГКУ «Управление капитального строительства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21.2. На цели, предусмотренные подпунктом 2.2 пункта 2 настоящего Порядка, Департамент культуры Брянской области.</w:t>
      </w:r>
    </w:p>
    <w:p>
      <w:pPr>
        <w:pStyle w:val="Normal"/>
        <w:spacing w:lineRule="auto" w:line="240" w:before="0" w:after="0"/>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jc w:val="center"/>
        <w:rPr>
          <w:rFonts w:ascii="Times New Roman" w:hAnsi="Times New Roman" w:cs="Times New Roman"/>
          <w:bCs/>
          <w:sz w:val="28"/>
          <w:szCs w:val="28"/>
        </w:rPr>
      </w:pPr>
      <w:bookmarkStart w:id="4" w:name="_GoBack"/>
      <w:bookmarkEnd w:id="4"/>
      <w:r>
        <w:rPr>
          <w:rFonts w:cs="Times New Roman" w:ascii="Times New Roman" w:hAnsi="Times New Roman"/>
          <w:bCs/>
          <w:sz w:val="28"/>
          <w:szCs w:val="28"/>
        </w:rPr>
        <w:t>Методика</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распределения субсидий бюджетам муниципальных образований</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на 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 государственной программы «Развитие культуры и туризма в Брянской области»</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 Общий размер субсидии, предоставляемой бюджету i-го муниципального образования на 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 государственной программы «Развитие культуры и туризма в Брянской области», определяется следующим образом:</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Vi = V1i + V2i, где: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V1i - размер бюджетных ассигнований из областного бюджета, предоставляемых бюджету i-го муниципального образования на реализацию мероприятий по строительству центров культурного развития только по проектам повторного применения, рекомендуемым Министерством культуры Российской Федерации, в рамках регионального проекта «Культурная среда» государственной программы «Развитие культуры и туризма в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V2i - размер бюджетных ассигнований из областного бюджета, предоставляемых бюджету i-го муниципального образования на реализацию мероприятий по созданию и модернизации учреждений культурно-досугового типа в сельской местности, включая строительство, реконструкцию и капитальный ремонт зданий.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Размер субсидии из областного бюджета, предоставляемой бюджету муниципального образования на строительство центров культурного развития только по проектам повторного применения, рекомендуемым Министерством культуры Российской Федерации, в рамках регионального проекта «Культурная среда» государственной программы «Развитие культуры и туризма в Брянской области», определяется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V1i = C x Vi / V,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spacing w:lineRule="auto" w:line="240" w:before="0" w:after="0"/>
        <w:ind w:firstLine="709"/>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V1i - размер субсидии бюджету i-го муниципального образования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 - общий объем субсидий, выделяемых бюджетам муниципальных образований на строительство центров культурного развития только по проектам повторного применения, рекомендуемым Министерством культуры Российской Федерации,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строительство центров культурного развития только по проектам повторного применения, рекомендуемым Министерством культуры Российской Федерации,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Vi - объем средств, необходимый i-му муниципальному образованию на строительство центров культурного развития только по проектам повторного применения, рекомендуемым Министерством культуры Российской Федерации,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 согласно представленной заявке.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3. Размер субсидии из областного бюджета, предоставляемой бюджету i-го муниципального образования на реализацию мероприятий по созданию и модернизации учреждений культурно-досугового типа в сельской местности, включая строительство, реконструкцию и капитальный ремонт зданий (V2i), определяется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343025" cy="42862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8"/>
                    <a:stretch>
                      <a:fillRect/>
                    </a:stretch>
                  </pic:blipFill>
                  <pic:spPr bwMode="auto">
                    <a:xfrm>
                      <a:off x="0" y="0"/>
                      <a:ext cx="1343025" cy="42862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V2 - общий объем субсидий, выделяемых бюджетам муниципальных образований на цели, установленные </w:t>
      </w:r>
      <w:hyperlink w:anchor="Par18">
        <w:r>
          <w:rPr>
            <w:rFonts w:cs="Times New Roman" w:ascii="Times New Roman" w:hAnsi="Times New Roman"/>
            <w:sz w:val="28"/>
            <w:szCs w:val="28"/>
          </w:rPr>
          <w:t>подпунктом 2.2 пункта 2</w:t>
        </w:r>
      </w:hyperlink>
      <w:r>
        <w:rPr>
          <w:rFonts w:cs="Times New Roman" w:ascii="Times New Roman" w:hAnsi="Times New Roman"/>
          <w:sz w:val="28"/>
          <w:szCs w:val="28"/>
        </w:rPr>
        <w:t xml:space="preserve">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C2 - общий объем затрат, определенный главным распорядителем средств областного бюджета согласно представленным муниципальными образованиями заявкам (сметам) на цели, установленные подпунктом 2.2 пункта 2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C2i - объем затрат i-го муниципального образования согласно сметам на цели, установленные подпунктом 2.2 пункта 2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4"/>
          <w:szCs w:val="24"/>
        </w:rPr>
      </w:pPr>
      <w:r>
        <w:rPr/>
      </w:r>
    </w:p>
    <w:sectPr>
      <w:type w:val="nextPage"/>
      <w:pgSz w:w="11906" w:h="16838"/>
      <w:pgMar w:left="1701" w:right="851" w:header="0" w:top="1418" w:footer="0" w:bottom="1418"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11624f"/>
    <w:rPr>
      <w:rFonts w:ascii="Tahoma" w:hAnsi="Tahoma" w:cs="Tahoma"/>
      <w:sz w:val="16"/>
      <w:szCs w:val="16"/>
    </w:rPr>
  </w:style>
  <w:style w:type="character" w:styleId="ConsPlusNormal" w:customStyle="1">
    <w:name w:val="ConsPlusNormal Знак"/>
    <w:link w:val="ConsPlusNormal0"/>
    <w:qFormat/>
    <w:locked/>
    <w:rsid w:val="006b68eb"/>
    <w:rPr>
      <w:rFonts w:ascii="Arial" w:hAnsi="Arial" w:cs="Arial"/>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BalloonText">
    <w:name w:val="Balloon Text"/>
    <w:basedOn w:val="Normal"/>
    <w:link w:val="a4"/>
    <w:uiPriority w:val="99"/>
    <w:semiHidden/>
    <w:unhideWhenUsed/>
    <w:qFormat/>
    <w:rsid w:val="0011624f"/>
    <w:pPr>
      <w:spacing w:lineRule="auto" w:line="240" w:before="0" w:after="0"/>
    </w:pPr>
    <w:rPr>
      <w:rFonts w:ascii="Tahoma" w:hAnsi="Tahoma" w:cs="Tahoma"/>
      <w:sz w:val="16"/>
      <w:szCs w:val="16"/>
    </w:rPr>
  </w:style>
  <w:style w:type="paragraph" w:styleId="ConsPlusNormal1" w:customStyle="1">
    <w:name w:val="ConsPlusNormal"/>
    <w:link w:val="ConsPlusNormal"/>
    <w:qFormat/>
    <w:rsid w:val="006b68eb"/>
    <w:pPr>
      <w:widowControl w:val="false"/>
      <w:bidi w:val="0"/>
      <w:spacing w:lineRule="auto" w:line="240" w:before="0" w:after="0"/>
      <w:ind w:firstLine="720"/>
      <w:jc w:val="left"/>
    </w:pPr>
    <w:rPr>
      <w:rFonts w:ascii="Arial" w:hAnsi="Arial" w:cs="Arial" w:eastAsia="Calibri" w:eastAsiaTheme="minorHAnsi"/>
      <w:color w:val="auto"/>
      <w:kern w:val="0"/>
      <w:sz w:val="22"/>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0761E01437761CAB2FD35CEE1D9CD48FA95883EE0B93EFCB120DBD57CF9D25DB4B3EBF149D54960FE541809A4987DA09772E809D93A8E4CCEC880S1l5J" TargetMode="External"/><Relationship Id="rId3" Type="http://schemas.openxmlformats.org/officeDocument/2006/relationships/hyperlink" Target="consultantplus://offline/ref=C0761E01437761CAB2FD35CEE1D9CD48FA95883EE0B93EFCB120DBD57CF9D25DB4B3EBF149D54960FE541D0AA4987DA09772E809D93A8E4CCEC880S1l5J" TargetMode="External"/><Relationship Id="rId4" Type="http://schemas.openxmlformats.org/officeDocument/2006/relationships/hyperlink" Target="consultantplus://offline/ref=C0761E01437761CAB2FD35CEE1D9CD48FA95883EE0BD39F2B520DBD57CF9D25DB4B3EBE3498D4561FA4A180AB1CE2CE6SCl3J" TargetMode="External"/><Relationship Id="rId5" Type="http://schemas.openxmlformats.org/officeDocument/2006/relationships/hyperlink" Target="consultantplus://offline/ref=C0761E01437761CAB2FD2BC3F7B59145F896DF36E6B230ADEC7F80882BF0D80AE1FCEABF0CDC5661FE4A1B0AADSClDJ" TargetMode="External"/><Relationship Id="rId6" Type="http://schemas.openxmlformats.org/officeDocument/2006/relationships/hyperlink" Target="consultantplus://offline/ref=C0761E01437761CAB2FD35CEE1D9CD48FA95883EE0B93EFCB120DBD57CF9D25DB4B3EBF149D54960FE551F03A4987DA09772E809D93A8E4CCEC880S1l5J" TargetMode="External"/><Relationship Id="rId7" Type="http://schemas.openxmlformats.org/officeDocument/2006/relationships/hyperlink" Target="consultantplus://offline/ref=C0761E01437761CAB2FD35CEE1D9CD48FA95883EE0B93EFCB120DBD57CF9D25DB4B3EBF149D54960FE551F03A4987DA09772E809D93A8E4CCEC880S1l5J" TargetMode="External"/><Relationship Id="rId8" Type="http://schemas.openxmlformats.org/officeDocument/2006/relationships/image" Target="media/image1.wmf"/><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LibreOffice/7.0.1.2$Windows_X86_64 LibreOffice_project/7cbcfc562f6eb6708b5ff7d7397325de9e764452</Application>
  <Pages>9</Pages>
  <Words>2194</Words>
  <Characters>17315</Characters>
  <CharactersWithSpaces>19653</CharactersWithSpaces>
  <Paragraphs>84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2021-10-26T09:04:00Z</dcterms:created>
  <dc:creator>TehOtdel</dc:creator>
  <dc:description/>
  <dc:language>ru-RU</dc:language>
  <cp:lastModifiedBy/>
  <cp:lastPrinted>2021-10-21T09:26:00Z</cp:lastPrinted>
  <dcterms:modified xsi:type="dcterms:W3CDTF">2021-10-26T13:05:54Z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